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[data]</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w:t>
                  </w:r>
                  <w:proofErr w:type="spellStart"/>
                  <w:r>
                    <w:rPr>
                      <w:rFonts w:ascii="Calibri" w:hAnsi="Calibri" w:cs="Calibri"/>
                      <w:b/>
                      <w:bCs/>
                      <w:color w:val="000000" w:themeColor="text1"/>
                      <w:kern w:val="24"/>
                    </w:rPr>
                    <w:t>ragione_sociale</w:t>
                  </w:r>
                  <w:proofErr w:type="spellEnd"/>
                  <w:r>
                    <w:rPr>
                      <w:rFonts w:ascii="Calibri" w:hAnsi="Calibri" w:cs="Calibri"/>
                      <w:b/>
                      <w:bCs/>
                      <w:color w:val="000000" w:themeColor="text1"/>
                      <w:kern w:val="24"/>
                    </w:rPr>
                    <w:t>]</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[referente]</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w:t>
                  </w:r>
                  <w:proofErr w:type="spellStart"/>
                  <w:r>
                    <w:rPr>
                      <w:rFonts w:ascii="Calibri" w:hAnsi="Calibri" w:cs="Calibri"/>
                      <w:b/>
                      <w:bCs/>
                      <w:color w:val="000000" w:themeColor="text1"/>
                      <w:kern w:val="24"/>
                    </w:rPr>
                    <w:t>ragione_sociale</w:t>
                  </w:r>
                  <w:proofErr w:type="spellEnd"/>
                  <w:r>
                    <w:rPr>
                      <w:rFonts w:ascii="Calibri" w:hAnsi="Calibri" w:cs="Calibri"/>
                      <w:b/>
                      <w:bCs/>
                      <w:color w:val="000000" w:themeColor="text1"/>
                      <w:kern w:val="24"/>
                    </w:rPr>
                    <w:t>]</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[referente]</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[data]</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w:t>
      </w:r>
      <w:proofErr w:type="spellStart"/>
      <w:r w:rsidR="006E3794">
        <w:rPr>
          <w:rFonts w:ascii="Calibri" w:hAnsi="Calibri" w:cs="Calibri"/>
        </w:rPr>
        <w:t>ragione_sociale</w:t>
      </w:r>
      <w:proofErr w:type="spellEnd"/>
      <w:r w:rsidR="006E3794">
        <w:rPr>
          <w:rFonts w:ascii="Calibri" w:hAnsi="Calibri" w:cs="Calibri"/>
        </w:rPr>
        <w:t>]</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[prezzo]</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[prezzo]</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