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F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margin-left:53.9pt;margin-top:371.4pt;width:481.9pt;height:16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</w:p>
                <w:p w:rsidR="002A2CC8" w:rsidRPr="0016758E" w:rsidRDefault="002A2CC8" w:rsidP="002A2CC8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gg</w:t>
                  </w:r>
                  <w:proofErr w:type="spellEnd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/mm/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aaaa</w:t>
                  </w:r>
                  <w:proofErr w:type="spellEnd"/>
                </w:p>
              </w:txbxContent>
            </v:textbox>
          </v:shape>
        </w:pict>
      </w:r>
    </w:p>
    <w:p w:rsidR="002A2CC8" w:rsidRDefault="002A2CC8" w:rsidP="0016758E">
      <w:pPr>
        <w:jc w:val="center"/>
      </w:pP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4E5E9A" w:rsidP="003F5DE4">
      <w:r>
        <w:rPr>
          <w:noProof/>
        </w:rPr>
        <w:pict>
          <v:shape id="CasellaDiTesto 11" o:spid="_x0000_s1027" type="#_x0000_t202" style="position:absolute;margin-left:324.75pt;margin-top:12.8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642CBA" w:rsidRDefault="00642CB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3D0D36" w:rsidRDefault="004E5E9A" w:rsidP="00642CBA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CASA DI RIPOSO MADRE COLOMBA SRL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VIA AMELIA 2, PERUGIA, Perugia, 06132, Italia</w:t>
                  </w: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8E1FF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3F5DE4" w:rsidRP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3F5DE4" w:rsidRPr="003F5DE4" w:rsidRDefault="004E5E9A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CASA DI RIPOSO MADRE COLOMBA SRL</w:t>
                  </w:r>
                </w:p>
                <w:p w:rsid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4E7FAF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8E1FF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T.se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gg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mm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aaaa</w:t>
                  </w:r>
                  <w:proofErr w:type="spellEnd"/>
                </w:p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Ns. Rif. _____/2</w:t>
                  </w:r>
                  <w:r w:rsidR="0048738F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4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/RC/at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7909" w:type="dxa"/>
        <w:tblCellMar>
          <w:left w:w="0" w:type="dxa"/>
          <w:right w:w="0" w:type="dxa"/>
        </w:tblCellMar>
        <w:tblLook w:val="0600"/>
      </w:tblPr>
      <w:tblGrid>
        <w:gridCol w:w="1264"/>
        <w:gridCol w:w="6645"/>
      </w:tblGrid>
      <w:tr w:rsidR="00184F48" w:rsidRPr="00184F48" w:rsidTr="00022E8E">
        <w:trPr>
          <w:trHeight w:val="100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022E8E" w:rsidRDefault="00022E8E" w:rsidP="00022E8E">
            <w:pPr>
              <w:tabs>
                <w:tab w:val="left" w:pos="873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 Gestione per il Trattamento dei Dati Personali di cui al Regolamento Europeo 2016/679 ed in Compliance alla Norma ISO/IEC 27001:2017.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4E5E9A">
        <w:rPr>
          <w:rFonts w:ascii="Calibri" w:hAnsi="Calibri" w:cs="Calibri"/>
        </w:rPr>
        <w:t>CASA DI RIPOSO MADRE COLOMBA SRL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893D84">
        <w:rPr>
          <w:rFonts w:ascii="Calibri" w:hAnsi="Calibri" w:cs="Calibri"/>
        </w:rPr>
        <w:t xml:space="preserve">Gruppo CS,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(CASA DI RIPOSO MADRE COLOMBA SRL),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Gruppo CS quattro specifici report, orientati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4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8E1FF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>
        <w:rPr>
          <w:rFonts w:ascii="Calibri" w:hAnsi="Calibri" w:cs="Calibri"/>
          <w:b/>
          <w:bCs/>
          <w:i/>
          <w:iCs/>
        </w:rPr>
        <w:t>Euro 600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>
        <w:rPr>
          <w:rFonts w:ascii="Calibri" w:hAnsi="Calibri" w:cs="Calibri"/>
          <w:b/>
          <w:bCs/>
          <w:i/>
          <w:iCs/>
        </w:rPr>
        <w:t>Euro 600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</w:rPr>
        <w:t/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8E1FF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Vi rendiamo conto che l’art. 15 del Regolamento Europeo, il cui testo è disponibile presso gli uffici del Gruppo CS,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Inoltre, Vi segnaliamo che tutto il personale del GRUPPO CS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8E1FF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proofErr w:type="spellStart"/>
      <w:r>
        <w:rPr>
          <w:rFonts w:ascii="Calibri" w:hAnsi="Calibri" w:cs="Calibri"/>
        </w:rPr>
        <w:t>xxxx</w:t>
      </w:r>
      <w:proofErr w:type="spellEnd"/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8E1FF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6309C2" w:rsidRPr="006309C2">
      <w:rPr>
        <w:noProof/>
        <w:lang w:eastAsia="it-IT"/>
      </w:rPr>
      <w:drawing>
        <wp:inline distT="0" distB="0" distL="0" distR="0">
          <wp:extent cx="2752725" cy="524035"/>
          <wp:effectExtent l="0" t="0" r="0" b="9525"/>
          <wp:docPr id="2" name="Immagine 1" descr="Immagine che contiene Carattere, Elementi grafici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logo, grafica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551" cy="53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92D7E"/>
    <w:rsid w:val="000969FB"/>
    <w:rsid w:val="000C43C8"/>
    <w:rsid w:val="000E37C4"/>
    <w:rsid w:val="00136966"/>
    <w:rsid w:val="0016758E"/>
    <w:rsid w:val="0017425C"/>
    <w:rsid w:val="00184F48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B2F6A"/>
    <w:rsid w:val="004C4525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57CD5"/>
    <w:rsid w:val="00780917"/>
    <w:rsid w:val="00786FF2"/>
    <w:rsid w:val="008100A4"/>
    <w:rsid w:val="008777DD"/>
    <w:rsid w:val="00893D84"/>
    <w:rsid w:val="008E1FF0"/>
    <w:rsid w:val="00900ED1"/>
    <w:rsid w:val="00931D2D"/>
    <w:rsid w:val="0094778A"/>
    <w:rsid w:val="009E428F"/>
    <w:rsid w:val="00A62F55"/>
    <w:rsid w:val="00AB47D3"/>
    <w:rsid w:val="00AD7E9C"/>
    <w:rsid w:val="00AE1D98"/>
    <w:rsid w:val="00B42F0E"/>
    <w:rsid w:val="00B53C17"/>
    <w:rsid w:val="00B71BA9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55C33"/>
    <w:rsid w:val="00E643A3"/>
    <w:rsid w:val="00EA60D3"/>
    <w:rsid w:val="00EC4156"/>
    <w:rsid w:val="00EC46E8"/>
    <w:rsid w:val="00EF1E56"/>
    <w:rsid w:val="00F0475B"/>
    <w:rsid w:val="00F22B34"/>
    <w:rsid w:val="00F44F87"/>
    <w:rsid w:val="00F5135E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103</cp:revision>
  <dcterms:created xsi:type="dcterms:W3CDTF">2024-03-29T16:40:00Z</dcterms:created>
  <dcterms:modified xsi:type="dcterms:W3CDTF">2024-05-06T17:20:00Z</dcterms:modified>
</cp:coreProperties>
</file>