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03/09/2024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E. SASSONE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LUCA CARPIGNANO</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E. SASSONE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LUCA CARPIGNANO</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03/09/2024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E. SASSONE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800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800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