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AINF-2-2023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Addetto Antincendio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