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DPI III Cat. + Lavori in quota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Modalità 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NEW ROSS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