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DPI III Cat. + Lavori in quota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Modalità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