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MAZZAGRECO LUCA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25/07/2023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ARTE BIANCA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25/07/2023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