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AINF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va attes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