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AMANDOLINI VALENTINA LUNA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22/05/2023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PF5690 STEDAN1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digitalizzazione dei processi di business - Ed.1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Attività:Tutor</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22/05/2023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