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Aramu Turi Felipe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Carlo Gremo 33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10040 Leinì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26/01/2024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AV/211/22A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Corso:PIANIFICARE LA SOSTENIBILITÀ NEI LAVORI DI RISTRUTTURAZIONE, MANUTENZIONE E COSTRUZIONE - ID. 3053312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26/01/2024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