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SAB-2-2024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2025 - 2028 Aggiornamento SAB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