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VARONE VALENTINA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DANTE DI NANNI, 56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1 - Improving Safety: miglioramento delle procedure ed efficienza organizzativa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5 - Improving Safety: miglioramento delle procedure ed efficienza organizzativa - ore 12.0 -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