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TBTF-1-2023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Trabattelli ITW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