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06/06/2024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1/24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“Catalogo Voucher Avv.1/24”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1/24 -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F34D24001340005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06/06/2024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