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27/09/2024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S.A.N. SRL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BIANCO ERNESTINA E.BIANCO@SAN.IT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S.A.N.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BIANCO ERNESTINA E.BIANCO@SAN.IT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27/09/2024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S.A.N.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(S.A.N. SRL)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700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700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