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EPA-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one emergenz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