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CIPOLLA MARIA CHIARA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Laioio 16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10022 Carmagnola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AV2/413/23III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“FOUR III SPORTELLO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AV2/413/23III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G14D24003570008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