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10/07/2024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D.A.L.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Corso:Open Organization: competenze del futuro - Ed. 13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10/07/2024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